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gif" ContentType="image/gi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32"/>
          <w:szCs w:val="32"/>
          <w:lang w:val="en-US" w:eastAsia="zh-CN" w:bidi="ar-SA"/>
        </w:rPr>
        <w:t>“银联62节”，联合科技打造银行业最强消费节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  <w:t>即便已经到9102年了，人们印象中的国企还是死板的、老气横秋的，和当下互联网的“活力四射”形成强烈反差。不过这套陈旧的观念，正在被银联颠覆。本次“银联62节”就是最好的证明，空口无凭，那下文就和大家好好聊聊“62节”，并一起探讨银联的品牌营销策略。</w:t>
      </w:r>
      <w:bookmarkStart w:id="0" w:name="_GoBack"/>
      <w:bookmarkEnd w:id="0"/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市场成绩喜人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  <w:t>前几年，银联62节的存在感则有些微弱。而在银联的精心打造下，如今，“银联62节”已经成为继双11、双12和618之后，又一个重要的购物狂欢节。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  <w:t>自2014年后，银联“62造节”大势已成，其规模早已超越我们的想象。据银联方面统计，今年加入活动的商户数量有60万家，是去年同期的3倍，参与商户全面覆盖商超便利店、餐饮、出行、生活服务等。其中，在所有参与活动的商家中，全球排名前30的连锁超市便利店，有80%参与了银联“62节”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  <w:t>同时，“银联62节，三天62折”期间，银联二维码日均交易笔数达2018年银联62节的近3倍，云闪付APP日均交易笔数达2018年银联62节的2倍，创历史新高。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银联也“疯狂”：“62狂欢节”玩转互联网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  <w:t>除了屡创新高的各项数据，银联市场推广上的营销打法也十分惹眼。不止是实打实的62折，还请来了知名演员倪大红，将苏大强的人设植入了广告里，甚至还拍了一部科幻短片。看过之后，不禁让人直呼，原来中国银联这么会玩！魔性、接地气、沙雕、走心等一系列的互联网词汇都被用来形容银联的广告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  <w:t>银联无论是市场成绩还是营销手段，都实现了质和量的飞跃。国企拥有诸如银联般的造节能力，实属罕见。那么，银联是如何实现如此庞大数量商家和消费者共同参与的62节，造就银行业最强消费节呢？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/>
          <w:bCs/>
          <w:color w:val="E82E7D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color w:val="E82E7D"/>
          <w:kern w:val="2"/>
          <w:sz w:val="28"/>
          <w:szCs w:val="28"/>
          <w:lang w:val="en-US" w:eastAsia="zh-CN" w:bidi="ar-SA"/>
        </w:rPr>
        <w:t xml:space="preserve">造势营销  </w:t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color w:val="E82E7D"/>
          <w:kern w:val="2"/>
          <w:sz w:val="28"/>
          <w:szCs w:val="28"/>
          <w:lang w:val="en-US" w:eastAsia="zh-CN" w:bidi="ar-SA"/>
        </w:rPr>
        <w:t>打响年中消费第一战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  <w:t>所谓的造势不是直接生硬的去造一个热点，而是需要预埋传播点，有节奏，有层次的去做，才能真正形成热度。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1、</w:t>
      </w:r>
      <w:r>
        <w:rPr>
          <w:rFonts w:hint="default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打造</w:t>
      </w: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“</w:t>
      </w:r>
      <w:r>
        <w:rPr>
          <w:rFonts w:hint="default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62</w:t>
      </w: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”</w:t>
      </w:r>
      <w:r>
        <w:rPr>
          <w:rFonts w:hint="default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热词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  <w:t>“</w:t>
      </w:r>
      <w:r>
        <w:rPr>
          <w:rFonts w:hint="default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  <w:t>银联62节</w:t>
      </w: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  <w:t>”</w:t>
      </w:r>
      <w:r>
        <w:rPr>
          <w:rFonts w:hint="default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  <w:t>活动开始前一周，联合新周刊，通过盘点历年网络流行数字热词，打造网络流行新词62，借助走心视频，赋予“62”新的内涵，大幅提升受众对62的认知。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numPr>
          <w:ilvl w:val="0"/>
          <w:numId w:val="0"/>
        </w:numPr>
        <w:jc w:val="center"/>
        <w:rPr>
          <w:rFonts w:hint="default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default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  <w:drawing>
          <wp:inline distT="0" distB="0" distL="114300" distR="114300">
            <wp:extent cx="2568575" cy="3239770"/>
            <wp:effectExtent l="0" t="0" r="3175" b="17780"/>
            <wp:docPr id="11" name="图片 11" descr="造词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造词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6857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2、官宣：“6月”和“2号”在一起了！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  <w:t>62节到来之前，银联对外官宣了一对新CP——“6月”和“2号”在一起了！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  <w:drawing>
          <wp:inline distT="0" distB="0" distL="114300" distR="114300">
            <wp:extent cx="3839210" cy="2160270"/>
            <wp:effectExtent l="0" t="0" r="8890" b="11430"/>
            <wp:docPr id="23" name="图片 23" descr="62C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62CP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3921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  <w:drawing>
          <wp:inline distT="0" distB="0" distL="114300" distR="114300">
            <wp:extent cx="3846830" cy="2160270"/>
            <wp:effectExtent l="0" t="0" r="1270" b="11430"/>
            <wp:docPr id="22" name="图片 22" descr="62C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62CP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4683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  <w:drawing>
          <wp:inline distT="0" distB="0" distL="114300" distR="114300">
            <wp:extent cx="3846830" cy="2160270"/>
            <wp:effectExtent l="0" t="0" r="1270" b="11430"/>
            <wp:docPr id="21" name="图片 21" descr="62CP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62CP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4683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  <w:t>银联在《6月和2号在一起》这则视频中，脑洞大开地将“银联62节”中的“6月2号”拆成“6月”和“2号”，并将其拟人化——戴着数字6和2头套的人物之间出现各种沙雕奇遇，加上各种银联支付场景，用陌生化的新鲜表达强化节日信息：6月和2号在一起，三天62折扣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  <w:t>平面同样延续视频的亮点，把6月和2号在一起的概念视觉化，让关键信息在宣传物料中反复出现，形成长线记忆。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  <w:drawing>
          <wp:inline distT="0" distB="0" distL="114300" distR="114300">
            <wp:extent cx="4312285" cy="2160270"/>
            <wp:effectExtent l="0" t="0" r="12065" b="11430"/>
            <wp:docPr id="12" name="图片 12" descr="62海报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2海报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1228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  <w:drawing>
          <wp:inline distT="0" distB="0" distL="114300" distR="114300">
            <wp:extent cx="4312285" cy="2160270"/>
            <wp:effectExtent l="0" t="0" r="12065" b="11430"/>
            <wp:docPr id="13" name="图片 13" descr="62海报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2海报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1228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  <w:drawing>
          <wp:inline distT="0" distB="0" distL="114300" distR="114300">
            <wp:extent cx="4312285" cy="2160270"/>
            <wp:effectExtent l="0" t="0" r="12065" b="11430"/>
            <wp:docPr id="14" name="图片 14" descr="62海报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62海报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1228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  <w:t>不论是系列视频还是平面，这个颇具沙雕风的创意组合成功为“银联62节”刷了一波热度。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3、地毯式广告投放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  <w:t>在海报的铺垫之后，银联还采取户外广告投放的形式，选择消费者经常出没的消费、生活场景：如公交站、地铁、电梯、楼宇、社交媒体等，进行地毯式宣发，进一步深化消费者对“银联62节”的认知。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  <w:drawing>
          <wp:inline distT="0" distB="0" distL="114300" distR="114300">
            <wp:extent cx="3916680" cy="2879725"/>
            <wp:effectExtent l="0" t="0" r="7620" b="15875"/>
            <wp:docPr id="18" name="图片 18" descr="造势营销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造势营销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1668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  <w:drawing>
          <wp:inline distT="0" distB="0" distL="114300" distR="114300">
            <wp:extent cx="3982720" cy="1800225"/>
            <wp:effectExtent l="0" t="0" r="17780" b="9525"/>
            <wp:docPr id="19" name="图片 19" descr="造势营销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造势营销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8272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  <w:drawing>
          <wp:inline distT="0" distB="0" distL="114300" distR="114300">
            <wp:extent cx="1302385" cy="3239770"/>
            <wp:effectExtent l="0" t="0" r="12065" b="17780"/>
            <wp:docPr id="20" name="图片 20" descr="造势营销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造势营销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023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  <w:t>以电梯电视广告为例：银联将一系列幽默搞笑的魔性短片，强势霸屏全国100个城市的55万部新潮电梯电视，从商业CBD到生活小区的电梯间，频频闪现着有声荧屏的银联62节活动广告，抬眼尽是“苏大强”。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370705" cy="2879725"/>
            <wp:effectExtent l="0" t="0" r="10795" b="15875"/>
            <wp:docPr id="1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70705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4、“搞事情”，扩大品牌声势</w:t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  <w:t>为营造更大的品牌声势，银联还与合作方联手“搞事情”。</w:t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numPr>
          <w:ilvl w:val="0"/>
          <w:numId w:val="0"/>
        </w:numPr>
        <w:jc w:val="left"/>
        <w:rPr>
          <w:rFonts w:hint="default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  <w:t>首汽约车在全国10余个城市，投入2800辆、62专车作为活动宣传之用，也就相当于2800块移动的广告牌同时在为“银联62节”的宣传助力。这阵仗真是厉害s~k~r人......</w:t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  <w:drawing>
          <wp:inline distT="0" distB="0" distL="114300" distR="114300">
            <wp:extent cx="4307840" cy="2879725"/>
            <wp:effectExtent l="0" t="0" r="16510" b="15875"/>
            <wp:docPr id="24" name="图片 24" descr="首约汽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首约汽车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0784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  <w:t>不仅是地上，银联还把“62节”整“上天”了，覆盖东航、南航、厦航等七大航空公司。其中，和南方航空公司一起打造了广州飞往上海虹桥的#银联62节主题航班#，给乘客开通“62节”专属登机通道。还为乘客准备有定制蛋糕、抽奖、礼品，并抽取幸运乘客作为体验大使，参加银联62节线下门店体验活动，再由首汽约车的专车接送。</w:t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  <w:drawing>
          <wp:inline distT="0" distB="0" distL="114300" distR="114300">
            <wp:extent cx="4321810" cy="2879725"/>
            <wp:effectExtent l="0" t="0" r="2540" b="15875"/>
            <wp:docPr id="26" name="图片 26" descr="主题航班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主题航班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2181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  <w:drawing>
          <wp:inline distT="0" distB="0" distL="114300" distR="114300">
            <wp:extent cx="4323715" cy="2879725"/>
            <wp:effectExtent l="0" t="0" r="635" b="15875"/>
            <wp:docPr id="25" name="图片 25" descr="主题航班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主题航班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2371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  <w:t>两个事件相互配合，形成完整的闭环，引发了事件在社交媒体的再次刷屏。</w:t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/>
          <w:bCs/>
          <w:color w:val="E82E7D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color w:val="E82E7D"/>
          <w:kern w:val="2"/>
          <w:sz w:val="28"/>
          <w:szCs w:val="28"/>
          <w:lang w:val="en-US" w:eastAsia="zh-CN" w:bidi="ar-SA"/>
        </w:rPr>
        <w:t xml:space="preserve">年轻化营销  </w:t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/>
          <w:bCs/>
          <w:color w:val="E82E7D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color w:val="E82E7D"/>
          <w:kern w:val="2"/>
          <w:sz w:val="28"/>
          <w:szCs w:val="28"/>
          <w:lang w:val="en-US" w:eastAsia="zh-CN" w:bidi="ar-SA"/>
        </w:rPr>
        <w:t>重塑银联品牌形象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  <w:t>在品牌年轻化大浪潮下，银联也在积极探索市场化创新。今年62节，银联融入了许多流行元素，逐步渗透到年轻群体之中，登上了品牌年轻化的舞台。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1、电影般的广告片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  <w:br w:type="textWrapping"/>
      </w: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  <w:t>在今年的“62节”来临之前，银联拍摄了这支主题广告片——《回到6月2号》。乍一看海报以为它是软科幻，观看时发现它是融入了科幻、爱情、穿越元素的广告片，被网友评价为“中国版的博物馆爱情穿越剧”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  <w:drawing>
          <wp:inline distT="0" distB="0" distL="114300" distR="114300">
            <wp:extent cx="3840480" cy="2160270"/>
            <wp:effectExtent l="0" t="0" r="7620" b="11430"/>
            <wp:docPr id="7" name="图片 7" descr="回到6月2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回到6月2号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  <w:drawing>
          <wp:inline distT="0" distB="0" distL="114300" distR="114300">
            <wp:extent cx="3840480" cy="2160270"/>
            <wp:effectExtent l="0" t="0" r="7620" b="11430"/>
            <wp:docPr id="6" name="图片 6" descr="回到6月2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回到6月2号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  <w:t>视频链接：</w:t>
      </w: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  <w:instrText xml:space="preserve"> HYPERLINK "https://v.qq.com/x/page/v0873src2k4.html" </w:instrText>
      </w: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  <w:fldChar w:fldCharType="separate"/>
      </w:r>
      <w:r>
        <w:rPr>
          <w:rStyle w:val="10"/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  <w:t>https://v.qq.com/x/page/v0873src2k4.html</w:t>
      </w: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  <w:fldChar w:fldCharType="end"/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  <w:t>有网友调侃说：“别人都是电影里插广告，银联这是在广告里植入了一部电影”。确实，银联在这支广告中不仅呈现了支付服务的大量场景，每一个场景还恰如其分地为活动造势，活动宣传与剧情的融入上十分自然的。不看到结尾，很难想象这是一支节日促销广告，品牌在片子当中让人不觉违和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2、魔性的“62之歌”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  <w:t>为了增强此次广告营销的传播广度及深度，银联还推出一首洗脑歌曲《银联62之歌》。并在网易云音乐等平台发布，借助更有趣的传播形式与年轻人顺利接轨，为营销活动打造出轻松、愉悦的氛围。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  <w:t>“苏大强”一改剧中蛮不讲理的形象，变身二次元漫版人物，在3D环绕的魔性音乐中蹦起迪来，可以说非常带感了。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  <w:drawing>
          <wp:inline distT="0" distB="0" distL="114300" distR="114300">
            <wp:extent cx="5203190" cy="2879725"/>
            <wp:effectExtent l="0" t="0" r="16510" b="15875"/>
            <wp:docPr id="16" name="图片 16" descr="62之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62之歌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0319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  <w:t>视频链接：</w:t>
      </w: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  <w:instrText xml:space="preserve"> HYPERLINK "https://v.qq.com/x/page/i0877v5ny1i.html" </w:instrText>
      </w: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  <w:fldChar w:fldCharType="separate"/>
      </w:r>
      <w:r>
        <w:rPr>
          <w:rStyle w:val="10"/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  <w:t>https://v.qq.com/x/page/i0877v5ny1i.html</w:t>
      </w: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  <w:fldChar w:fldCharType="end"/>
      </w: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color w:val="7F7F7F" w:themeColor="background1" w:themeShade="80"/>
          <w:kern w:val="2"/>
          <w:sz w:val="20"/>
          <w:szCs w:val="20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color w:val="7F7F7F" w:themeColor="background1" w:themeShade="80"/>
          <w:kern w:val="2"/>
          <w:sz w:val="20"/>
          <w:szCs w:val="20"/>
          <w:lang w:val="en-US" w:eastAsia="zh-CN" w:bidi="ar-SA"/>
        </w:rPr>
        <w:t>“62银联62节，我们一起过节......62，62，62，我们一起过62~~~”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color w:val="7F7F7F" w:themeColor="background1" w:themeShade="80"/>
          <w:kern w:val="2"/>
          <w:sz w:val="20"/>
          <w:szCs w:val="20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color w:val="7F7F7F" w:themeColor="background1" w:themeShade="80"/>
          <w:kern w:val="2"/>
          <w:sz w:val="20"/>
          <w:szCs w:val="20"/>
          <w:lang w:val="en-US" w:eastAsia="zh-CN" w:bidi="ar-SA"/>
        </w:rPr>
        <w:t>“吃饭加鸡腿，超市随便买”，“吃土不存在，拔草选最爱”、“买买买就趁现在”......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  <w:t>极具记忆点的旋律和洗脑式的歌词将62节的折扣信息进行了趣味化演绎，多维度强化受众对品牌的认知度，使得“银联62节”的信息更加深入人心。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3、超次元互动体验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  <w:t>为了让大众提前感受到节日的氛围和利益，银联在线下，携手静安大悦城・摩天轮天搭建了一座超次元的“银联 62 小镇”。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  <w:drawing>
          <wp:inline distT="0" distB="0" distL="114300" distR="114300">
            <wp:extent cx="3839210" cy="2879725"/>
            <wp:effectExtent l="0" t="0" r="8890" b="15875"/>
            <wp:docPr id="33" name="图片 33" descr="银联62小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银联62小镇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3921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  <w:drawing>
          <wp:inline distT="0" distB="0" distL="114300" distR="114300">
            <wp:extent cx="3830320" cy="2879725"/>
            <wp:effectExtent l="0" t="0" r="17780" b="15875"/>
            <wp:docPr id="32" name="图片 32" descr="银联62小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银联62小镇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3032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  <w:drawing>
          <wp:inline distT="0" distB="0" distL="114300" distR="114300">
            <wp:extent cx="4319270" cy="2879725"/>
            <wp:effectExtent l="0" t="0" r="5080" b="15875"/>
            <wp:docPr id="31" name="图片 31" descr="银联62小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银联62小镇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1927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  <w:t>将手绘漫画搬到现实，高度还原生活消费场景，设有便利店、甜品店、花店、服装店等，另外还设置一些趣味互动游戏，把银联 62 节「买买买」的氛围通过线下传递给消费者，给消费者提供一次沉浸式的体验机会，让消费者提前感知“银联62节”使用云闪付APP的购物优惠。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  <w:t>紧靠潮流文化的强力传播，新奇有趣的露出模式，成功使得62这一概念具像化，并在年轻群体中风靡开来。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/>
          <w:bCs/>
          <w:color w:val="E82E7D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color w:val="E82E7D"/>
          <w:kern w:val="2"/>
          <w:sz w:val="28"/>
          <w:szCs w:val="28"/>
          <w:lang w:val="en-US" w:eastAsia="zh-CN" w:bidi="ar-SA"/>
        </w:rPr>
        <w:t>借势“苏大强”IP</w:t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/>
          <w:bCs/>
          <w:color w:val="E82E7D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color w:val="E82E7D"/>
          <w:kern w:val="2"/>
          <w:sz w:val="28"/>
          <w:szCs w:val="28"/>
          <w:lang w:val="en-US" w:eastAsia="zh-CN" w:bidi="ar-SA"/>
        </w:rPr>
        <w:t>覆盖众多消费圈层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  <w:t> 从银联的品牌角度来说，银联作为一个支付品牌，目标群体不止是年轻人，还要触达到更多的中老年，他们也是日常消费的主体。但对于线上支付，年轻人早已经熟知，中老年消费者的接受程度明显低于年轻一代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  <w:t>正因如此，银联选择携手顶级流量“苏大强”的扮演者倪大红作为代言人，并出任银联62超级体验官。银联为什么舍流量鲜肉而用老戏骨？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  <w:t>首先，在出演电视剧《都挺好》中的苏大强之后，倪大红称得上是2019年以来最有流量的明星，不但是年轻人心目中的小可爱，更是中老年消费者的偶像。其次，倪大红还懂生活，有自己独到生活哲学。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  <w:t>强大的流量号召力能在年轻消费群体里引发热点和关注；懂生活这点则能让更多中老年人产生共鸣，邀请更多圈层消费者使用银联云闪付。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1、省钱之道，苏大强知道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  <w:t>在《倪大红的生活哲学》系列短视频中，通过倪大红精分式的演绎，描述了想买又怕超预算的三个消费场景，完美复刻了《都挺好》中苏大强的人设的同时，戳中消费者想要过高品质生活但经济有限的痛点，让消费者真切感受到打折的需求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  <w:drawing>
          <wp:inline distT="0" distB="0" distL="114300" distR="114300">
            <wp:extent cx="4340860" cy="2160270"/>
            <wp:effectExtent l="0" t="0" r="2540" b="11430"/>
            <wp:docPr id="5" name="图片 5" descr="三大场景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三大场景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4086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  <w:drawing>
          <wp:inline distT="0" distB="0" distL="114300" distR="114300">
            <wp:extent cx="4354195" cy="2160270"/>
            <wp:effectExtent l="0" t="0" r="8255" b="11430"/>
            <wp:docPr id="4" name="图片 4" descr="三大场景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三大场景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5419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  <w:drawing>
          <wp:inline distT="0" distB="0" distL="114300" distR="114300">
            <wp:extent cx="4320540" cy="2160270"/>
            <wp:effectExtent l="0" t="0" r="3810" b="11430"/>
            <wp:docPr id="3" name="图片 3" descr="三大场景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三大场景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  <w:t>视频链接：</w:t>
      </w: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  <w:instrText xml:space="preserve"> HYPERLINK "https://v.qq.com/x/page/u08767o7h8h.html" </w:instrText>
      </w: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  <w:fldChar w:fldCharType="separate"/>
      </w:r>
      <w:r>
        <w:rPr>
          <w:rStyle w:val="10"/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  <w:t>https://v.qq.com/x/page/u08767o7h8h.html</w:t>
      </w: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  <w:fldChar w:fldCharType="end"/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  <w:t>结合视频，银联在微博平台发起以#倪大红吐槽不打折#为话题的话题专栏。带出“62折比啥都强”的传播主题。其中，微博#倪大红吐槽不打折#话题浏览量达7000万+，引发无数网友热议。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  <w:drawing>
          <wp:inline distT="0" distB="0" distL="114300" distR="114300">
            <wp:extent cx="5006975" cy="1259840"/>
            <wp:effectExtent l="0" t="0" r="3175" b="16510"/>
            <wp:docPr id="30" name="图片 30" descr="苏大强微博话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苏大强微博话题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069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2、”苏大强“行走的表情包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  <w:t>为了让《倪大红的生活哲学》深入社交场景，银联还联动知名漫画博主马里奥小黄，推出苏大强吐槽不打折系列的表情包。并携手网易哒哒、GQ实验室、有趣青年、长图汽车站、X博士推送系列爆款苏大强长图故事推文，引爆社交媒体，也将“银联62节”的活动氛围烘托至极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  <w:drawing>
          <wp:inline distT="0" distB="0" distL="114300" distR="114300">
            <wp:extent cx="3508375" cy="3239770"/>
            <wp:effectExtent l="0" t="0" r="15875" b="17780"/>
            <wp:docPr id="29" name="图片 29" descr="苏大强表情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苏大强表情包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0837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/>
          <w:bCs/>
          <w:color w:val="E82E7D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color w:val="E82E7D"/>
          <w:kern w:val="2"/>
          <w:sz w:val="28"/>
          <w:szCs w:val="28"/>
          <w:lang w:val="en-US" w:eastAsia="zh-CN" w:bidi="ar-SA"/>
        </w:rPr>
        <w:t>科技赋能</w:t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/>
          <w:bCs/>
          <w:color w:val="E82E7D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color w:val="E82E7D"/>
          <w:kern w:val="2"/>
          <w:sz w:val="28"/>
          <w:szCs w:val="28"/>
          <w:lang w:val="en-US" w:eastAsia="zh-CN" w:bidi="ar-SA"/>
        </w:rPr>
        <w:t>打造支付+生态圈</w:t>
      </w:r>
    </w:p>
    <w:p>
      <w:pPr>
        <w:rPr>
          <w:rFonts w:hint="eastAsia" w:ascii="微软雅黑" w:hAnsi="微软雅黑" w:eastAsia="微软雅黑" w:cs="微软雅黑"/>
          <w:sz w:val="21"/>
          <w:szCs w:val="21"/>
        </w:rPr>
      </w:pPr>
    </w:p>
    <w:p>
      <w:pPr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针对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“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62节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”</w:t>
      </w:r>
      <w:r>
        <w:rPr>
          <w:rFonts w:hint="eastAsia" w:ascii="微软雅黑" w:hAnsi="微软雅黑" w:eastAsia="微软雅黑" w:cs="微软雅黑"/>
          <w:sz w:val="21"/>
          <w:szCs w:val="21"/>
        </w:rPr>
        <w:t>营销活动，银联投入了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很多</w:t>
      </w:r>
      <w:r>
        <w:rPr>
          <w:rFonts w:hint="eastAsia" w:ascii="微软雅黑" w:hAnsi="微软雅黑" w:eastAsia="微软雅黑" w:cs="微软雅黑"/>
          <w:sz w:val="21"/>
          <w:szCs w:val="21"/>
        </w:rPr>
        <w:t>技术力量，包括升级了活动运营系统，实时监控活动全链路执行情况，拒绝恶意套利，全方位保障消费者参与体验，同时全面升级支付、客服系统，为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“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62节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”</w:t>
      </w:r>
      <w:r>
        <w:rPr>
          <w:rFonts w:hint="eastAsia" w:ascii="微软雅黑" w:hAnsi="微软雅黑" w:eastAsia="微软雅黑" w:cs="微软雅黑"/>
          <w:sz w:val="21"/>
          <w:szCs w:val="21"/>
        </w:rPr>
        <w:t>保驾护航。</w:t>
      </w:r>
    </w:p>
    <w:p>
      <w:pPr>
        <w:rPr>
          <w:rFonts w:hint="eastAsia" w:ascii="微软雅黑" w:hAnsi="微软雅黑" w:eastAsia="微软雅黑" w:cs="微软雅黑"/>
          <w:sz w:val="21"/>
          <w:szCs w:val="21"/>
        </w:rPr>
      </w:pPr>
    </w:p>
    <w:p>
      <w:pPr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1、全面升级后台系统</w:t>
      </w:r>
    </w:p>
    <w:p>
      <w:pPr>
        <w:rPr>
          <w:rFonts w:hint="eastAsia" w:ascii="微软雅黑" w:hAnsi="微软雅黑" w:eastAsia="微软雅黑" w:cs="微软雅黑"/>
          <w:sz w:val="21"/>
          <w:szCs w:val="21"/>
        </w:rPr>
      </w:pPr>
    </w:p>
    <w:p>
      <w:pPr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面对如此大规模的线上线下联动的消费节，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银联</w:t>
      </w:r>
      <w:r>
        <w:rPr>
          <w:rFonts w:hint="eastAsia" w:ascii="微软雅黑" w:hAnsi="微软雅黑" w:eastAsia="微软雅黑" w:cs="微软雅黑"/>
          <w:sz w:val="21"/>
          <w:szCs w:val="21"/>
        </w:rPr>
        <w:t>在活动开始之前3个月起，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就</w:t>
      </w:r>
      <w:r>
        <w:rPr>
          <w:rFonts w:hint="eastAsia" w:ascii="微软雅黑" w:hAnsi="微软雅黑" w:eastAsia="微软雅黑" w:cs="微软雅黑"/>
          <w:sz w:val="21"/>
          <w:szCs w:val="21"/>
        </w:rPr>
        <w:t>结合历史大数据和系统情况，评估系统性能，优化系统架构，光是全链路的系统压力测试，就做了8轮，还将系统硬件扩容10倍，以应对交易系统峰值。</w:t>
      </w:r>
    </w:p>
    <w:p>
      <w:pPr>
        <w:rPr>
          <w:rFonts w:hint="eastAsia" w:ascii="微软雅黑" w:hAnsi="微软雅黑" w:eastAsia="微软雅黑" w:cs="微软雅黑"/>
          <w:sz w:val="21"/>
          <w:szCs w:val="21"/>
        </w:rPr>
      </w:pPr>
    </w:p>
    <w:p>
      <w:pPr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同时，在系统运营方面，银联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在</w:t>
      </w:r>
      <w:r>
        <w:rPr>
          <w:rFonts w:hint="eastAsia" w:ascii="微软雅黑" w:hAnsi="微软雅黑" w:eastAsia="微软雅黑" w:cs="微软雅黑"/>
          <w:sz w:val="21"/>
          <w:szCs w:val="21"/>
        </w:rPr>
        <w:t>总控中心配备的六块大屏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（</w:t>
      </w:r>
      <w:r>
        <w:rPr>
          <w:rFonts w:hint="eastAsia" w:ascii="微软雅黑" w:hAnsi="微软雅黑" w:eastAsia="微软雅黑" w:cs="微软雅黑"/>
          <w:sz w:val="21"/>
          <w:szCs w:val="21"/>
        </w:rPr>
        <w:t>交易实时监控大屏、营销活动实时监控大屏、系统容量屏、TPS防恶意套利监控大屏 、云闪付APP实时监控大屏、商户直播大屏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），</w:t>
      </w:r>
      <w:r>
        <w:rPr>
          <w:rFonts w:hint="eastAsia" w:ascii="微软雅黑" w:hAnsi="微软雅黑" w:eastAsia="微软雅黑" w:cs="微软雅黑"/>
          <w:sz w:val="21"/>
          <w:szCs w:val="21"/>
        </w:rPr>
        <w:t>对营销活动进行全链路数字化运营、一站式监控，包括对实时交易、系统容量、用户行为、优惠承兑、防恶意套利等进行全方位、智能化监控。大大提升了系统保障能力，也让人工客服及网络客服服务量翻番，提高了用户应答率，也更好地服务广大参与62营销活动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的</w:t>
      </w:r>
      <w:r>
        <w:rPr>
          <w:rFonts w:hint="eastAsia" w:ascii="微软雅黑" w:hAnsi="微软雅黑" w:eastAsia="微软雅黑" w:cs="微软雅黑"/>
          <w:sz w:val="21"/>
          <w:szCs w:val="21"/>
        </w:rPr>
        <w:t>消费者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。</w:t>
      </w:r>
    </w:p>
    <w:p>
      <w:pPr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drawing>
          <wp:inline distT="0" distB="0" distL="114300" distR="114300">
            <wp:extent cx="5035550" cy="2879725"/>
            <wp:effectExtent l="0" t="0" r="12700" b="15875"/>
            <wp:docPr id="1" name="图片 1" descr="总控中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总控中心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color w:val="7F7F7F" w:themeColor="background1" w:themeShade="80"/>
          <w:sz w:val="20"/>
          <w:szCs w:val="20"/>
          <w:lang w:eastAsia="zh-CN"/>
        </w:rPr>
      </w:pPr>
      <w:r>
        <w:rPr>
          <w:rFonts w:hint="eastAsia" w:ascii="微软雅黑" w:hAnsi="微软雅黑" w:eastAsia="微软雅黑" w:cs="微软雅黑"/>
          <w:color w:val="7F7F7F" w:themeColor="background1" w:themeShade="80"/>
          <w:sz w:val="20"/>
          <w:szCs w:val="20"/>
          <w:lang w:eastAsia="zh-CN"/>
        </w:rPr>
        <w:t>工作人员在指挥中心忙碌</w:t>
      </w:r>
    </w:p>
    <w:p>
      <w:pPr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2、生物识别支付产品初体验</w:t>
      </w:r>
    </w:p>
    <w:p>
      <w:pPr>
        <w:rPr>
          <w:rFonts w:hint="eastAsia" w:ascii="微软雅黑" w:hAnsi="微软雅黑" w:eastAsia="微软雅黑" w:cs="微软雅黑"/>
          <w:sz w:val="21"/>
          <w:szCs w:val="21"/>
        </w:rPr>
      </w:pPr>
    </w:p>
    <w:p>
      <w:pPr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随着科技的发展，科技赋能金融的意义越来越重大，移动支付的价值也早已不仅限于便捷支付本身，消费者开始追求更加安全和智能的支付体验。</w:t>
      </w:r>
    </w:p>
    <w:p>
      <w:pPr>
        <w:rPr>
          <w:rFonts w:hint="eastAsia" w:ascii="微软雅黑" w:hAnsi="微软雅黑" w:eastAsia="微软雅黑" w:cs="微软雅黑"/>
          <w:sz w:val="21"/>
          <w:szCs w:val="21"/>
        </w:rPr>
      </w:pPr>
    </w:p>
    <w:p>
      <w:pPr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在银联62活动中，除了云闪付APP、银联闪付等业已在多场景广泛运用的支付产品，银联首次展示了多项创新生物识别技术产品，包括掌静脉支付、指静脉支付等，为消费者提供更加安全便捷的支付体验。</w:t>
      </w:r>
    </w:p>
    <w:p>
      <w:pPr>
        <w:rPr>
          <w:rFonts w:hint="eastAsia" w:ascii="微软雅黑" w:hAnsi="微软雅黑" w:eastAsia="微软雅黑" w:cs="微软雅黑"/>
          <w:sz w:val="21"/>
          <w:szCs w:val="21"/>
        </w:rPr>
      </w:pPr>
    </w:p>
    <w:p>
      <w:pPr>
        <w:jc w:val="center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drawing>
          <wp:inline distT="0" distB="0" distL="114300" distR="114300">
            <wp:extent cx="4321175" cy="2879725"/>
            <wp:effectExtent l="0" t="0" r="3175" b="15875"/>
            <wp:docPr id="2" name="图片 2" descr="掌静脉支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掌静脉支付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2117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/>
          <w:bCs/>
          <w:color w:val="E82E7D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color w:val="E82E7D"/>
          <w:kern w:val="2"/>
          <w:sz w:val="28"/>
          <w:szCs w:val="28"/>
          <w:lang w:val="en-US" w:eastAsia="zh-CN" w:bidi="ar-SA"/>
        </w:rPr>
        <w:t>总结</w:t>
      </w:r>
    </w:p>
    <w:p>
      <w:pPr>
        <w:jc w:val="center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  <w:t>从以上四个方面来看，此次“银联62节”营销可谓是面面俱到，于细节处见真章。无论是科幻般的广告片、魔性的62之歌、体验感爆棚的62小镇、#银联62节主题航班#的事件营销、亦或是苏打强的跨次元代言等。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kern w:val="2"/>
          <w:sz w:val="21"/>
          <w:szCs w:val="21"/>
          <w:lang w:val="en-US" w:eastAsia="zh-CN" w:bidi="ar-SA"/>
        </w:rPr>
        <w:t>这一连串的营销组合拳，成功将“银联62节”植入消费者心智。同时在营销过程中极具创意、趣味性的传播内容和方式，展现了一家中年国企的年轻活力，也成功圈粉年轻消费者，推动营销转化。随着传播的推进，累积的声量达到高潮，直接带动“银联62节”的爆发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onsolas">
    <w:panose1 w:val="020B0609020204030204"/>
    <w:charset w:val="00"/>
    <w:family w:val="auto"/>
    <w:pitch w:val="default"/>
    <w:sig w:usb0="E10002FF" w:usb1="4000FCFF" w:usb2="00000009" w:usb3="00000000" w:csb0="600001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901C96"/>
    <w:rsid w:val="00056FB9"/>
    <w:rsid w:val="00937BF5"/>
    <w:rsid w:val="011B0383"/>
    <w:rsid w:val="01613DE5"/>
    <w:rsid w:val="017F41A8"/>
    <w:rsid w:val="0195449E"/>
    <w:rsid w:val="01DC1F07"/>
    <w:rsid w:val="02126AFF"/>
    <w:rsid w:val="02F658E6"/>
    <w:rsid w:val="03A63FA5"/>
    <w:rsid w:val="03E94D91"/>
    <w:rsid w:val="03F66368"/>
    <w:rsid w:val="04317EC9"/>
    <w:rsid w:val="04322D70"/>
    <w:rsid w:val="046D0338"/>
    <w:rsid w:val="04A55D16"/>
    <w:rsid w:val="05337E56"/>
    <w:rsid w:val="05621830"/>
    <w:rsid w:val="056C5FE4"/>
    <w:rsid w:val="059606B1"/>
    <w:rsid w:val="05D21070"/>
    <w:rsid w:val="06AC37AD"/>
    <w:rsid w:val="07032D0D"/>
    <w:rsid w:val="073816A4"/>
    <w:rsid w:val="074B2DDF"/>
    <w:rsid w:val="07E30F60"/>
    <w:rsid w:val="086A41CF"/>
    <w:rsid w:val="08DD17EB"/>
    <w:rsid w:val="0906491D"/>
    <w:rsid w:val="094D3287"/>
    <w:rsid w:val="09837C8F"/>
    <w:rsid w:val="099430A2"/>
    <w:rsid w:val="09E35DE0"/>
    <w:rsid w:val="09F5701E"/>
    <w:rsid w:val="0A4F5EE0"/>
    <w:rsid w:val="0AB1519A"/>
    <w:rsid w:val="0B1534CA"/>
    <w:rsid w:val="0B4175A9"/>
    <w:rsid w:val="0B6A250D"/>
    <w:rsid w:val="0B8F5451"/>
    <w:rsid w:val="0BBA2657"/>
    <w:rsid w:val="0BC165D1"/>
    <w:rsid w:val="0BED195B"/>
    <w:rsid w:val="0C3E2ADC"/>
    <w:rsid w:val="0CBE2304"/>
    <w:rsid w:val="0CF32F45"/>
    <w:rsid w:val="0D1F341E"/>
    <w:rsid w:val="0D271A79"/>
    <w:rsid w:val="0D34304E"/>
    <w:rsid w:val="0D7C2C56"/>
    <w:rsid w:val="0E833C9D"/>
    <w:rsid w:val="100D176D"/>
    <w:rsid w:val="10177DF8"/>
    <w:rsid w:val="10B446FA"/>
    <w:rsid w:val="112722C5"/>
    <w:rsid w:val="1127270F"/>
    <w:rsid w:val="1142660A"/>
    <w:rsid w:val="129D25A5"/>
    <w:rsid w:val="12DC4EDD"/>
    <w:rsid w:val="12E74275"/>
    <w:rsid w:val="138A58D5"/>
    <w:rsid w:val="14375EC3"/>
    <w:rsid w:val="14847218"/>
    <w:rsid w:val="149A6437"/>
    <w:rsid w:val="157A2272"/>
    <w:rsid w:val="15D90D05"/>
    <w:rsid w:val="15F56EB1"/>
    <w:rsid w:val="16477710"/>
    <w:rsid w:val="168F2D04"/>
    <w:rsid w:val="16916B44"/>
    <w:rsid w:val="17D309B8"/>
    <w:rsid w:val="180E49FB"/>
    <w:rsid w:val="18123592"/>
    <w:rsid w:val="181721D0"/>
    <w:rsid w:val="186121BB"/>
    <w:rsid w:val="1982022E"/>
    <w:rsid w:val="19F37656"/>
    <w:rsid w:val="1A40101C"/>
    <w:rsid w:val="1A5D6F41"/>
    <w:rsid w:val="1AA456AA"/>
    <w:rsid w:val="1B2052EA"/>
    <w:rsid w:val="1B5F7679"/>
    <w:rsid w:val="1BB26CF6"/>
    <w:rsid w:val="1C932E5A"/>
    <w:rsid w:val="1D247760"/>
    <w:rsid w:val="1D477FEA"/>
    <w:rsid w:val="1DF24BE5"/>
    <w:rsid w:val="1E352B34"/>
    <w:rsid w:val="1EC37AF6"/>
    <w:rsid w:val="1FD35476"/>
    <w:rsid w:val="205376C3"/>
    <w:rsid w:val="208D050D"/>
    <w:rsid w:val="20B231A6"/>
    <w:rsid w:val="20B50BE6"/>
    <w:rsid w:val="20DD734A"/>
    <w:rsid w:val="21561D01"/>
    <w:rsid w:val="222620B4"/>
    <w:rsid w:val="22934752"/>
    <w:rsid w:val="23884BFA"/>
    <w:rsid w:val="23DD0C1C"/>
    <w:rsid w:val="23E55BB5"/>
    <w:rsid w:val="23FC30AF"/>
    <w:rsid w:val="24286347"/>
    <w:rsid w:val="24446245"/>
    <w:rsid w:val="244D633E"/>
    <w:rsid w:val="2476743C"/>
    <w:rsid w:val="254B2F51"/>
    <w:rsid w:val="25F07943"/>
    <w:rsid w:val="26A51BCE"/>
    <w:rsid w:val="26D53997"/>
    <w:rsid w:val="2710561D"/>
    <w:rsid w:val="27D62659"/>
    <w:rsid w:val="284902FF"/>
    <w:rsid w:val="28C01F0B"/>
    <w:rsid w:val="28C842B7"/>
    <w:rsid w:val="28F0222B"/>
    <w:rsid w:val="29AB5F2A"/>
    <w:rsid w:val="2B7875B0"/>
    <w:rsid w:val="2BB91EF3"/>
    <w:rsid w:val="2C420C0A"/>
    <w:rsid w:val="2CC3751F"/>
    <w:rsid w:val="2D4F15E2"/>
    <w:rsid w:val="2E39228D"/>
    <w:rsid w:val="2E714BED"/>
    <w:rsid w:val="2F031E8D"/>
    <w:rsid w:val="2F40320E"/>
    <w:rsid w:val="30961D69"/>
    <w:rsid w:val="328D1FC3"/>
    <w:rsid w:val="32E87FF4"/>
    <w:rsid w:val="33110E3A"/>
    <w:rsid w:val="336778A6"/>
    <w:rsid w:val="337F1846"/>
    <w:rsid w:val="34814F00"/>
    <w:rsid w:val="34E06567"/>
    <w:rsid w:val="359C0C6E"/>
    <w:rsid w:val="35AA7061"/>
    <w:rsid w:val="35CA46BE"/>
    <w:rsid w:val="3618041B"/>
    <w:rsid w:val="3685723F"/>
    <w:rsid w:val="36B16529"/>
    <w:rsid w:val="376C7709"/>
    <w:rsid w:val="37EB5B6E"/>
    <w:rsid w:val="37F53322"/>
    <w:rsid w:val="38647DED"/>
    <w:rsid w:val="38666884"/>
    <w:rsid w:val="38B52C3C"/>
    <w:rsid w:val="39C54E2A"/>
    <w:rsid w:val="3A30685A"/>
    <w:rsid w:val="3A331E2D"/>
    <w:rsid w:val="3B5B1496"/>
    <w:rsid w:val="3B802303"/>
    <w:rsid w:val="3BAB0A2B"/>
    <w:rsid w:val="3D9D1A05"/>
    <w:rsid w:val="3E8774F6"/>
    <w:rsid w:val="3F562D9D"/>
    <w:rsid w:val="3FC01645"/>
    <w:rsid w:val="40A072D9"/>
    <w:rsid w:val="41951EC5"/>
    <w:rsid w:val="41EF2189"/>
    <w:rsid w:val="42085F50"/>
    <w:rsid w:val="425F4C07"/>
    <w:rsid w:val="426641D8"/>
    <w:rsid w:val="42717F68"/>
    <w:rsid w:val="42973F47"/>
    <w:rsid w:val="429F313D"/>
    <w:rsid w:val="43923BD4"/>
    <w:rsid w:val="43AE4A2D"/>
    <w:rsid w:val="43E80331"/>
    <w:rsid w:val="4400233B"/>
    <w:rsid w:val="44A36D2F"/>
    <w:rsid w:val="451A40F7"/>
    <w:rsid w:val="47176ECC"/>
    <w:rsid w:val="475804EC"/>
    <w:rsid w:val="47A80D63"/>
    <w:rsid w:val="48383947"/>
    <w:rsid w:val="49120B36"/>
    <w:rsid w:val="496C3FB3"/>
    <w:rsid w:val="49E53342"/>
    <w:rsid w:val="4A186D10"/>
    <w:rsid w:val="4AA3125E"/>
    <w:rsid w:val="4BAB6DF6"/>
    <w:rsid w:val="4BB30B64"/>
    <w:rsid w:val="4CAD01BA"/>
    <w:rsid w:val="4CDD1791"/>
    <w:rsid w:val="4CEF0F14"/>
    <w:rsid w:val="4D4C03FA"/>
    <w:rsid w:val="4D54172F"/>
    <w:rsid w:val="4E450958"/>
    <w:rsid w:val="4E5B3818"/>
    <w:rsid w:val="4E5B728C"/>
    <w:rsid w:val="4E642486"/>
    <w:rsid w:val="4F222B2A"/>
    <w:rsid w:val="4F4C52D9"/>
    <w:rsid w:val="4F8F7D12"/>
    <w:rsid w:val="50012C39"/>
    <w:rsid w:val="506B7391"/>
    <w:rsid w:val="50C27840"/>
    <w:rsid w:val="51993ED9"/>
    <w:rsid w:val="51D9742B"/>
    <w:rsid w:val="52237DE4"/>
    <w:rsid w:val="52A52DBD"/>
    <w:rsid w:val="531D68B8"/>
    <w:rsid w:val="53811B6E"/>
    <w:rsid w:val="53D01720"/>
    <w:rsid w:val="55392372"/>
    <w:rsid w:val="55A552E4"/>
    <w:rsid w:val="567248D2"/>
    <w:rsid w:val="568B3282"/>
    <w:rsid w:val="56A75310"/>
    <w:rsid w:val="57533B54"/>
    <w:rsid w:val="580A720F"/>
    <w:rsid w:val="58814CAE"/>
    <w:rsid w:val="597D1B2E"/>
    <w:rsid w:val="59AC43CE"/>
    <w:rsid w:val="59F56E57"/>
    <w:rsid w:val="5A792868"/>
    <w:rsid w:val="5A906FA6"/>
    <w:rsid w:val="5A9D3B7A"/>
    <w:rsid w:val="5B1069AD"/>
    <w:rsid w:val="5B3F11EA"/>
    <w:rsid w:val="5B474854"/>
    <w:rsid w:val="5B8D0613"/>
    <w:rsid w:val="5C047BFA"/>
    <w:rsid w:val="5C4A18EF"/>
    <w:rsid w:val="5CA2261C"/>
    <w:rsid w:val="5D1002E0"/>
    <w:rsid w:val="5DEC2E3E"/>
    <w:rsid w:val="5DF05E7F"/>
    <w:rsid w:val="5E150D4F"/>
    <w:rsid w:val="5E552247"/>
    <w:rsid w:val="5E9E0FF9"/>
    <w:rsid w:val="5F766EB7"/>
    <w:rsid w:val="5F9E1BEF"/>
    <w:rsid w:val="60074FFD"/>
    <w:rsid w:val="604A2076"/>
    <w:rsid w:val="60FE6437"/>
    <w:rsid w:val="612A7FDF"/>
    <w:rsid w:val="61B82162"/>
    <w:rsid w:val="6260582F"/>
    <w:rsid w:val="62B500FD"/>
    <w:rsid w:val="62B629D9"/>
    <w:rsid w:val="630F5CE1"/>
    <w:rsid w:val="635815A7"/>
    <w:rsid w:val="636A0861"/>
    <w:rsid w:val="63706D6F"/>
    <w:rsid w:val="63C400BF"/>
    <w:rsid w:val="63DD13DC"/>
    <w:rsid w:val="63FE4F5B"/>
    <w:rsid w:val="64875028"/>
    <w:rsid w:val="64A213FE"/>
    <w:rsid w:val="64A3687D"/>
    <w:rsid w:val="64EA2F63"/>
    <w:rsid w:val="650B385E"/>
    <w:rsid w:val="65146BD0"/>
    <w:rsid w:val="65EF4CFD"/>
    <w:rsid w:val="65F6231E"/>
    <w:rsid w:val="66985159"/>
    <w:rsid w:val="66B77F6D"/>
    <w:rsid w:val="66D74D5A"/>
    <w:rsid w:val="67DA4D61"/>
    <w:rsid w:val="68054622"/>
    <w:rsid w:val="68E81471"/>
    <w:rsid w:val="68FC6533"/>
    <w:rsid w:val="69214802"/>
    <w:rsid w:val="69443E94"/>
    <w:rsid w:val="69AF05AE"/>
    <w:rsid w:val="6A9E57A5"/>
    <w:rsid w:val="6AD32B50"/>
    <w:rsid w:val="6B571CC9"/>
    <w:rsid w:val="6C7D196D"/>
    <w:rsid w:val="6CB3653E"/>
    <w:rsid w:val="6CDA1ED2"/>
    <w:rsid w:val="6D8371F9"/>
    <w:rsid w:val="6E0816A6"/>
    <w:rsid w:val="6E090EC9"/>
    <w:rsid w:val="6E142826"/>
    <w:rsid w:val="6E2A0D2A"/>
    <w:rsid w:val="6E3C32E3"/>
    <w:rsid w:val="6E8B41B8"/>
    <w:rsid w:val="6EE42E34"/>
    <w:rsid w:val="6F913FFE"/>
    <w:rsid w:val="6FC45542"/>
    <w:rsid w:val="6FDF4589"/>
    <w:rsid w:val="700761A6"/>
    <w:rsid w:val="705C2523"/>
    <w:rsid w:val="707A4CA1"/>
    <w:rsid w:val="708F5FF9"/>
    <w:rsid w:val="70EB642B"/>
    <w:rsid w:val="71112B02"/>
    <w:rsid w:val="719118D8"/>
    <w:rsid w:val="71975CE1"/>
    <w:rsid w:val="71A87ABE"/>
    <w:rsid w:val="71D91F60"/>
    <w:rsid w:val="71E63E85"/>
    <w:rsid w:val="72D10AB6"/>
    <w:rsid w:val="740A4D81"/>
    <w:rsid w:val="742B2036"/>
    <w:rsid w:val="74901C96"/>
    <w:rsid w:val="74B600E3"/>
    <w:rsid w:val="74BA6DF8"/>
    <w:rsid w:val="75171693"/>
    <w:rsid w:val="75BC1410"/>
    <w:rsid w:val="75DA34A2"/>
    <w:rsid w:val="76AF4653"/>
    <w:rsid w:val="77E1775D"/>
    <w:rsid w:val="780A6EA2"/>
    <w:rsid w:val="78484C75"/>
    <w:rsid w:val="79636424"/>
    <w:rsid w:val="7998614F"/>
    <w:rsid w:val="7A507586"/>
    <w:rsid w:val="7A965F47"/>
    <w:rsid w:val="7A9B7006"/>
    <w:rsid w:val="7AEA5B39"/>
    <w:rsid w:val="7B327D07"/>
    <w:rsid w:val="7C4E0D12"/>
    <w:rsid w:val="7CA911DC"/>
    <w:rsid w:val="7D067F9E"/>
    <w:rsid w:val="7DBA40B2"/>
    <w:rsid w:val="7DD31584"/>
    <w:rsid w:val="7E500C36"/>
    <w:rsid w:val="7EBB5442"/>
    <w:rsid w:val="7F071E99"/>
    <w:rsid w:val="7F954EF2"/>
    <w:rsid w:val="7FA5787B"/>
    <w:rsid w:val="7FE6381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  <w:sz w:val="20"/>
      <w:szCs w:val="20"/>
    </w:rPr>
  </w:style>
  <w:style w:type="character" w:styleId="7">
    <w:name w:val="FollowedHyperlink"/>
    <w:basedOn w:val="5"/>
    <w:qFormat/>
    <w:uiPriority w:val="0"/>
    <w:rPr>
      <w:color w:val="565656"/>
      <w:u w:val="none"/>
    </w:rPr>
  </w:style>
  <w:style w:type="character" w:styleId="8">
    <w:name w:val="Emphasis"/>
    <w:basedOn w:val="5"/>
    <w:qFormat/>
    <w:uiPriority w:val="0"/>
    <w:rPr>
      <w:i/>
      <w:color w:val="FF0000"/>
      <w:sz w:val="30"/>
      <w:szCs w:val="30"/>
    </w:rPr>
  </w:style>
  <w:style w:type="character" w:styleId="9">
    <w:name w:val="HTML Definition"/>
    <w:basedOn w:val="5"/>
    <w:qFormat/>
    <w:uiPriority w:val="0"/>
    <w:rPr>
      <w:i/>
      <w:color w:val="555555"/>
      <w:sz w:val="21"/>
      <w:szCs w:val="21"/>
      <w:bdr w:val="single" w:color="CCCCCC" w:sz="6" w:space="0"/>
      <w:shd w:val="clear" w:fill="FFFFFF"/>
    </w:rPr>
  </w:style>
  <w:style w:type="character" w:styleId="10">
    <w:name w:val="Hyperlink"/>
    <w:basedOn w:val="5"/>
    <w:qFormat/>
    <w:uiPriority w:val="0"/>
    <w:rPr>
      <w:color w:val="565656"/>
      <w:u w:val="none"/>
    </w:rPr>
  </w:style>
  <w:style w:type="character" w:styleId="11">
    <w:name w:val="HTML Code"/>
    <w:basedOn w:val="5"/>
    <w:qFormat/>
    <w:uiPriority w:val="0"/>
    <w:rPr>
      <w:rFonts w:ascii="Consolas" w:hAnsi="Consolas" w:eastAsia="Consolas" w:cs="Consolas"/>
      <w:color w:val="C7254E"/>
      <w:sz w:val="21"/>
      <w:szCs w:val="21"/>
      <w:shd w:val="clear" w:fill="F9F2F4"/>
    </w:rPr>
  </w:style>
  <w:style w:type="character" w:styleId="12">
    <w:name w:val="HTML Keyboard"/>
    <w:basedOn w:val="5"/>
    <w:qFormat/>
    <w:uiPriority w:val="0"/>
    <w:rPr>
      <w:rFonts w:hint="default" w:ascii="Consolas" w:hAnsi="Consolas" w:eastAsia="Consolas" w:cs="Consolas"/>
      <w:color w:val="FFFFFF"/>
      <w:sz w:val="21"/>
      <w:szCs w:val="21"/>
      <w:shd w:val="clear" w:fill="333333"/>
    </w:rPr>
  </w:style>
  <w:style w:type="character" w:styleId="13">
    <w:name w:val="HTML Sample"/>
    <w:basedOn w:val="5"/>
    <w:qFormat/>
    <w:uiPriority w:val="0"/>
    <w:rPr>
      <w:rFonts w:hint="default" w:ascii="Consolas" w:hAnsi="Consolas" w:eastAsia="Consolas" w:cs="Consolas"/>
      <w:sz w:val="21"/>
      <w:szCs w:val="21"/>
    </w:rPr>
  </w:style>
  <w:style w:type="character" w:customStyle="1" w:styleId="14">
    <w:name w:val="act2"/>
    <w:basedOn w:val="5"/>
    <w:qFormat/>
    <w:uiPriority w:val="0"/>
    <w:rPr>
      <w:bdr w:val="single" w:color="DADADA" w:sz="6" w:space="0"/>
      <w:shd w:val="clear" w:fill="FFFFFF"/>
    </w:rPr>
  </w:style>
  <w:style w:type="character" w:customStyle="1" w:styleId="15">
    <w:name w:val="act3"/>
    <w:basedOn w:val="5"/>
    <w:qFormat/>
    <w:uiPriority w:val="0"/>
    <w:rPr>
      <w:bdr w:val="single" w:color="DADADA" w:sz="6" w:space="0"/>
      <w:shd w:val="clear" w:fill="FFFFFF"/>
    </w:rPr>
  </w:style>
  <w:style w:type="character" w:customStyle="1" w:styleId="16">
    <w:name w:val="act4"/>
    <w:basedOn w:val="5"/>
    <w:qFormat/>
    <w:uiPriority w:val="0"/>
    <w:rPr>
      <w:bdr w:val="single" w:color="DADADA" w:sz="6" w:space="0"/>
      <w:shd w:val="clear" w:fill="FFFFFF"/>
    </w:rPr>
  </w:style>
  <w:style w:type="character" w:customStyle="1" w:styleId="17">
    <w:name w:val="ye2"/>
    <w:basedOn w:val="5"/>
    <w:qFormat/>
    <w:uiPriority w:val="0"/>
  </w:style>
  <w:style w:type="character" w:customStyle="1" w:styleId="18">
    <w:name w:val="hover7"/>
    <w:basedOn w:val="5"/>
    <w:qFormat/>
    <w:uiPriority w:val="0"/>
    <w:rPr>
      <w:u w:val="single"/>
    </w:rPr>
  </w:style>
  <w:style w:type="character" w:customStyle="1" w:styleId="19">
    <w:name w:val="act"/>
    <w:basedOn w:val="5"/>
    <w:qFormat/>
    <w:uiPriority w:val="0"/>
    <w:rPr>
      <w:bdr w:val="single" w:color="DADADA" w:sz="6" w:space="0"/>
      <w:shd w:val="clear" w:fill="FFFFFF"/>
    </w:rPr>
  </w:style>
  <w:style w:type="character" w:customStyle="1" w:styleId="20">
    <w:name w:val="act1"/>
    <w:basedOn w:val="5"/>
    <w:qFormat/>
    <w:uiPriority w:val="0"/>
    <w:rPr>
      <w:bdr w:val="single" w:color="DADADA" w:sz="6" w:space="0"/>
      <w:shd w:val="clear" w:fill="FFFFFF"/>
    </w:rPr>
  </w:style>
  <w:style w:type="character" w:customStyle="1" w:styleId="21">
    <w:name w:val="hover11"/>
    <w:basedOn w:val="5"/>
    <w:qFormat/>
    <w:uiPriority w:val="0"/>
    <w:rPr>
      <w:u w:val="single"/>
    </w:rPr>
  </w:style>
  <w:style w:type="character" w:customStyle="1" w:styleId="22">
    <w:name w:val="ye"/>
    <w:basedOn w:val="5"/>
    <w:qFormat/>
    <w:uiPriority w:val="0"/>
  </w:style>
  <w:style w:type="character" w:customStyle="1" w:styleId="23">
    <w:name w:val="act5"/>
    <w:basedOn w:val="5"/>
    <w:qFormat/>
    <w:uiPriority w:val="0"/>
    <w:rPr>
      <w:bdr w:val="single" w:color="DADADA" w:sz="6" w:space="0"/>
      <w:shd w:val="clear" w:fill="FFFFFF"/>
    </w:rPr>
  </w:style>
  <w:style w:type="character" w:customStyle="1" w:styleId="24">
    <w:name w:val="hover"/>
    <w:basedOn w:val="5"/>
    <w:qFormat/>
    <w:uiPriority w:val="0"/>
    <w:rPr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GIF"/><Relationship Id="rId18" Type="http://schemas.openxmlformats.org/officeDocument/2006/relationships/image" Target="media/image15.GIF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2019-06-05T02:46:00Z</dcterms:created>
  <dc:creator>Administrator</dc:creator>
  <cp:lastModifiedBy>Administrator</cp:lastModifiedBy>
  <dcterms:modified xsi:type="dcterms:W3CDTF">2019-06-11T01:40:19Z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